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eljni parametri društvene konstrukcije hrvatske srednjovjekovne zbilje  (MZOS-269-0190610-25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Smiljanić, Franjo
]]>          <w:br/>
<![CDATA[Neka topografska zapažanja o prostornoj organizaciji teritorija sela Tršci.  // Archaeologia Adriatica, IV (2010),  393-415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3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