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naturalizam i problem moralnog znanja  (MZOS-226-0000000-3393)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Pavić, Dario
]]>          <w:br/>
<![CDATA[An Analysis of Sex Ratio at Birth in Croatia 1946 - 2007.  // Društvena istraživanja : časopis za opća društvena pitanja, 20 (2011), 1;  151-165 doi:10.5559/di.20.1.08 (međunarodna recenzija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sardić, Neven
]]>          <w:br/>
<![CDATA[Nature, Nurture, and Politics.  // Biology & philosophy, 25 (2010), 3;  433-436 doi:10.1007/s10539-009-9159-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Pavić, Dario
]]>          <w:br/>
<![CDATA[Geoffrey Miller, Razum i razmnožavanje: kako je izbor partnera oblikovao evoluciju ljudske naravi.  // Prolegomena, 7 (2008), 2;  237-241 (podatak o recenziji nije dostupan, prikaz, stručni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index.php/629320) (podatak o recenziji nije dostupan, prikaz, stručni)
]]>          <w:br/>
        </w:t>
      </w:r>
    </w:p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index.php/647169) (poster, međunarodna recenzija, sažetak, znanstveni)
]]>          <w:br/>
        </w:t>
      </w:r>
    </w:p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Bracanović, Tomislav
]]>          <w:br/>
<![CDATA[Explaining Morality: Darwinian Strategies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