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Spektralna analiza varijabilnosti srčanog ritma u procjeni autonomnog disbalansa  (MZOS-219-0000000-3344)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čević, Goran
]]>          <w:br/>
<![CDATA[Ehokardiografija u detekciji, kvantifikaciji i prognozi plućne hipertenzije.  // Plućna hipertenzija u sistemskim bolestima: dijagnostičke novosti i ciljana vaskularna intervencija Zbornik radova / Doc.dr.sc. Asja Stipić Marković (ur.).
]]>          <w:br/>
<![CDATA[Zagreb: Hrvatski liječnički zbor, Hrvatsko društvo za elergologiju i kliničku imunologiju, 2011. str. 23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
]]>          <w:br/>
<![CDATA[Sequential administration of up to three antiarrhythmic drugs for successful conversion of recent-onset atrial fibrillation.  // 5th Global Cardiovascular Clinical Trialists Forum, Abstract Book
]]>          <w:br/>
<![CDATA[Cannes, Francuska, 2008. str. 41-41 (poster, međunarodna recenzija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icevic, Goran
]]>          <w:br/>
<![CDATA[Milicevic, Goran (2010, April 8). Postsystolic (and multiple) myocardial contractions. SciTopics. Retrieved April 11, 2010, from http://www.scitopics.com/Postsystolic_and_multiple_myocardial_contractions.html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