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prostorne distribucije gospodarski važnih štetnika primjenom GIS-a  (MZOS-178-1782066-2065)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index.php/6456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index.php/596943) (međunarodna recenzija, članak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Igrc Barčić, J.
]]>          <w:br/>
<![CDATA[Lisne uši.  // Glasilo biljne zaštite, 2007 (2007), 7;  326-3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Batinović, Lucija
]]>          <w:br/>
<![CDATA[Pojava štetnika u konvencionalnom i ekološkom masliniku u dolini Neretve., 2015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