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kompleksni spojevi i materijali-kemijski i biološki katalizatori  (MZOS-119-1191342-1082)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index.php/624108)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index.php/518194)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
<![CDATA[Žiga, Naida
]]>          <w:br/>
<![CDATA[Sinteza i identifikacija produkata reakcija CrIII) s ONS- donorskim ligandima., 2008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