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Fleksibilne duge konstrukcije: nelinearno modeliranje s vizualizacijom  (MZOS-114-0982562-1460)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vica; Torić Malić, Neira
]]>          <w:br/>
<![CDATA[Spectral method in realistic modelling of bridges under moving vehicles.  // Engineering structures, 50 (2013),  149-157 doi:10.1016/j.engstruct.2012.10.024 (međunarodna recenzija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Tino MEDVIDOVIĆ, Ivica KOŽAR
]]>          <w:br/>
<![CDATA[Influence of girder eccentricity on the dynamic characteristics of the bridge.  // 6th ICCSM Book of Abstracts / Ivica Smojver, Jurica Sorić (ur.).
]]>          <w:br/>
<![CDATA[Zagreb: Hrvatsko društvo za mehaniku (HDM), 2009. str. 85-85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index.php/422240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