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sustavi praćenja neuobičajene dinamike Jadrana  (MZOS-001-0013077-1122)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index.php/305648) (pozvano 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index.php/363762) (poster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Šepić, J., Vilibić, I., Ivanković, D., Marasović, S., Muslim, S.
]]>          <w:br/>
<![CDATA[The Adriatic meteotsunami research and warning network.  // 2010 Ocean Sciences Meeting
]]>          <w:br/>
<![CDATA[Portland (OR), Sjedinjene Američke Države, 2010. (predavanje, međunarodna recenzija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