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lavaš, Zoran; Štrkalj, Anita
]]>          <w:br/>
<![CDATA[Optimiranje volumena otopina teških metala za adsorpciju na metalurškom otpadu.  // Zbornik radova konferencije s međunarodnim sudjelovanjem Zaštita okoliša i održivo gospodarenje resursima / Žunec, Nenad (ur.).
]]>          <w:br/>
<![CDATA[Zagreb: Business Media Croatia, 2014. str. 172-176 (predavanje, međunarodna recenzija, cjeloviti rad (in extenso), stručni)
]]>          <w:br/>
        </w:t>
      </w:r>
    </w:p>
    <w:p>
      <w:pPr/>
      <w:r>
        <w:rPr/>
        <w:t xml:space="preserve">
<![CDATA[Štrkalj, Anita; Glavaš, Zoran; Maldini, Krešimir, Hršak, Damir; Šipuš, Ivica
]]>          <w:br/>
<![CDATA[Pročišćavanje otpadne vode metalurškim otpadom.  // Zbornik radova konferencije s međunarodnim sudjelovanjem Zaštita okoliša i održivo gospodarenje resursima / Žunec, Nenad (ur.).
]]>          <w:br/>
<![CDATA[Zagreb: Business Media Croatia, 2014. str. 203-20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https://www.bib.irb.hr:8443/index.php/pretraga/?operators%3Dand%7CPotpora+2+-+Anita+%C5%A0trkalj%7Ctext%7Cproject-sifra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