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index.php/905462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index.php/90543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index.php/905431) (poster, podatak o recenziji nije dostupan, sažetak, znanstveni)
]]>          <w:br/>
        </w:t>
      </w:r>
    </w:p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index.php/90544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index.php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index.php/905456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index.php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index.php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index.php/904892)
]]>          <w:br/>
        </w:t>
      </w:r>
    </w:p>
    <w:p>
      <w:pPr/>
      <w:r>
        <w:rPr/>
        <w:t xml:space="preserve">
<![CDATA[Ira Ćoso
]]>          <w:br/>
<![CDATA[Ispitivanje karakteristika bihevioralne senzitizacije u Drosophile melanogaster., 2016., diplomski rad, diplomski, Odjel za biotehnologiju, Rijeka. (https://www.bib.irb.hr:8443/index.php/904773)
]]>          <w:br/>
        </w:t>
      </w:r>
    </w:p>
    <w:p>
      <w:pPr/>
      <w:r>
        <w:rPr/>
        <w:t xml:space="preserve">
<![CDATA[Ivan Odak
]]>          <w:br/>
<![CDATA[Dizajn nove visokoprotočne metode za mjerenje bihevioralne senzitizacije na psihostimulanse u Drosophile melanogaster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