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Josip, Palić; Boško, Barac; Davor, Jančuljak
]]>          <w:br/>
<![CDATA[Cardiac disease as an important risk factor for the occurrence of ischemic stroke.  // Acta clinica Croatica, 37 (1998), Suppl. 2;  65-65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
<![CDATA[Kadojić, Dragutin
]]>          <w:br/>
<![CDATA[Utjecaj prolongiranog stresa uzrokovanog ratnim stradanjima, na čimbenike rizika za cerebrovaskularnu bolest i cerebralnu hemodinamiku., 1997., doktorska disertacija, Medicinski fakultet, Zagreb
]]>          <w:br/>
        </w:t>
      </w:r>
    </w:p>
    <w:p>
      <w:pPr/>
      <w:r>
        <w:rPr/>
        <w:t xml:space="preserve">
<![CDATA[Soldo-Butković, Silva
]]>          <w:br/>
<![CDATA[Korelacijska analiza termograma i dermatomskih shema donjih udova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