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da, Ivana
]]>          <w:br/>
<![CDATA[Tečaj &#38;#8220 ; International Commercial Arbitration&#38;#8221 ; , Inter-univerzitetski centar u Dubrovniku, 1.- 5. listopada 2001..  // Zbornik Pravnog Fakulteta Sveučilišta u Rijeci, 23 (2002), 2;  828-853 (podatak o recenziji nije dostupan, prikaz, ostalo)
]]>          <w:br/>
        </w:t>
      </w:r>
    </w:p>
    <w:p>
      <w:pPr/>
      <w:r>
        <w:rPr/>
        <w:t xml:space="preserve">
<![CDATA[Kunda, Ivana
]]>          <w:br/>
<![CDATA[W. Laurence Craig, William W. Park, Jan Paulsson, International Chamber Of Commerce Arbitration, 3. izdanje, Oceana Publications, Inc./Dobbs Ferry, New York, 2000., str. xvi + 952.  // Zbornik Pravnog Fakulteta Sveučilišta u Rijeci, 23 (2002), 2;  803-808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arčević, Petar
]]>          <w:br/>
<![CDATA[Mario Giovanoli, (ed.) International Monetary Law - Issues for the New Millennium, Oxford University Press, London, 2000., 2002. (podatak o recenziji nije dostupan, ostali članci/prilozi).
]]>          <w:br/>
        </w:t>
      </w:r>
    </w:p>
    <w:p>
      <w:pPr/>
      <w:r>
        <w:rPr/>
        <w:t xml:space="preserve">
<![CDATA[Šarčević, Petar
]]>          <w:br/>
<![CDATA[Državna sukcesija i novčana sredstva u stranim bankama., 2000. (podatak o recenziji nije dostupan, ostalo).
]]>          <w:br/>
        </w:t>
      </w:r>
    </w:p>
    <w:p>
      <w:pPr/>
      <w:r>
        <w:rPr/>
        <w:t xml:space="preserve">
<![CDATA[Šarčević, Petar; Volken, Paul
]]>          <w:br/>
<![CDATA[Foreword., 2000. (podatak o recenziji nije dostupan, ostali članci/prilozi).
]]>          <w:br/>
        </w:t>
      </w:r>
    </w:p>
    <w:p>
      <w:pPr/>
      <w:r>
        <w:rPr/>
        <w:t xml:space="preserve">
<![CDATA[Šarčević, Petar
]]>          <w:br/>
<![CDATA[Lawrence COLLINS (general editor, with specialist editors), Dicey &#38; Morris on the Conflict of Laws, 13th ed., London (Sweet &#38; Maxwell) London 2000, volumes I and II, pp. CCXXX-1622-LXXI.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