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Huić, Dražen; Dodig, Damir
]]>          <w:br/>
<![CDATA[Fluorine-18-fluordeoxyglucose-Positron Emission Tomography Metabolic Imaging in Patients with Lymphoma.  // Croatian medical journal, 43 (2002), 5;  541-5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ović, Marjana; Lončarić, Srećko; Khadani, A; Rydberg J, McCartney, W
]]>          <w:br/>
<![CDATA[PET standard uptake values dependence on acquisition and reconstruction protocols for dual time point imaging.  // Supplement to The Journal of Nuclear Medicine, Abstract Book / Schelbert, Heinrich R. (ur.).
]]>          <w:br/>
<![CDATA[Reston (VA): The Society of Nuclear Medicine, 2005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ović, M; Lončarić S; McCartney, W; Khandani A
]]>          <w:br/>
<![CDATA[Evaluation of PET Standard Uptake Values Dependence on Imaging Protocols for Dual Time Point Imaging.  // IEEE 2004 Nuclear Science Symposium and Medical Imaging Conference
]]>          <w:br/>
<![CDATA[Rim, Italij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