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fred Švarc
]]>          <w:br/>
<![CDATA[The importance of inelastic channels in eliminating continuum ambiguities in pion-nucleon partial wave analyses.  // Proceedings of the Workshop on the Physics of Excited Nucleons Nstar2005 / Simon Capstick, Volker Crede, Paul Eugenio (ur.).
]]>          <w:br/>
<![CDATA[Singapur : London : München : Ženeva : Tokyo : Hong Kong : Taipei : Peking : Šangaj : Tianjin : Chennai: World Scientific Publishing, 2006. str. 37-47 (pozvano 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arc, Alfred; Ceci, Saša; Zauner, Branimir
]]>          <w:br/>
<![CDATA[Full two body amplitudes as input for the &#951; meson production in nucleon-nucleon scattering.  // Recent progress in eta-nucleus physics / Vadim Baru, ..., Alfred Svarc, ... Jozef Zlomanczuk (ur.).
]]>          <w:br/>
<![CDATA[online: arXiv, 2006. str. 22-23 (predavanje, međunarodna recenzija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fred Švarc
]]>          <w:br/>
<![CDATA[The proposal for the general scheme to incorporate pion-nucleon inelastic channels into the coupled-channel formalism.  // workshop nema zbornik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Branimir Zauner
]]>          <w:br/>
<![CDATA[The influence of pi N --> K Lambda data on the P11 poles.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Alfred Švarc
]]>          <w:br/>
<![CDATA[Coupled channel formalism (CCF): from initial assumptions to T-matrices which reproduce the available data set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Alfred Švarc
]]>          <w:br/>
<![CDATA[The effect of the pion-N to eta N channel on determining the parameters of low-lying resonances, and the inter-relation of CCF to other formalism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2025-05-05T05:57:23+00:00</dcterms:created>
  <dcterms:modified xsi:type="dcterms:W3CDTF">2025-05-05T05:57:23+00:00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