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jić, Branka
]]>          <w:br/>
<![CDATA[Recepcija filozofije Martina Heideggera u Hrvatskoj u XX stoljeću.  // Hrvatska filozofija u XX stoljeću / Damir Barbarić, Franjo Zenko (ur.).
]]>          <w:br/>
<![CDATA[Zagreb: Matica hrvatska, 2007. str. - (pozvano predavanje, domaća recenzija, cjeloviti rad (in extenso), znanstveni)
]]>          <w:br/>
        </w:t>
      </w:r>
    </w:p>
    <w:p>
      <w:pPr/>
      <w:r>
        <w:rPr/>
        <w:t xml:space="preserve">
<![CDATA[Brujić, Branka
]]>          <w:br/>
<![CDATA[Das Ethos des anderen Anfangs.  // Das Spaetwerk Martin Heideggers / Damir Barbarić (ur.).
]]>          <w:br/>
<![CDATA[Freiburg: --, 2007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ujić, Branka
]]>          <w:br/>
<![CDATA[Dovršavanje epohe i povijesno mišljenje. Sutlić-Heidegger: bliskost i suzdržanost.  // Izgledi povijesnog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index.php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