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Rigo (CROSBI Profil: 879, MBZ: 113955)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