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Ivić (CROSBI Profil: 723, MBZ: 378276)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