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Mardešić (CROSBI Profil: 4215, MBZ: 176845)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Željko
]]>          <w:br/>
<![CDATA[Odgovornost kršćana za svijet.. Sarajevo : Zagreb: Svjetlost riječi, 2005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Željko
]]>          <w:br/>
<![CDATA[Religijsko pamćenje u tradiciji i postmodernitetu. // Kršćanstvo i pamćenje / Vuleta, Bože ; Anić, Rebeka ; Milanović Litre, Milan (ur.).
]]>          <w:br/>
<![CDATA[Split : Zagreb: Franjevački institut za kulturu mira ; Hrvatski Caritas, 2004. str. 195-224
]]>          <w:br/>
        </w:t>
      </w:r>
    </w:p>
    <w:p>
      <w:pPr/>
      <w:r>
        <w:rPr/>
        <w:t xml:space="preserve">
<![CDATA[Jukić, Jakov; Mardešić, Željko
]]>          <w:br/>
<![CDATA[Teorije ideologizacije i sekularizacije. // Religija i sloboda - Religijska situacija u Hrvatskoj 1945-1990. / Grubišić, Ivan (ur.).
]]>          <w:br/>
<![CDATA[Split: IPD Centar International, 1993. str. 11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Jakov; Mardešić, Željko
]]>          <w:br/>
<![CDATA[Idejna i kulturološka strujanja u javnom životu hrvatskog naroda u razdoblju od 1918. do 1941..  // Društvena istraživanja : časopis za opća društvena pitanja, 10 (2001), 1-2(51-52);  3-18 (međunarodna recenzija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