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Križnjak (CROSBI Profil: 41099)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Križnjak, Kristina
]]>          <w:br/>
<![CDATA[Fosilni nalazi serpulida u miocenskim naslagama okolice Zagreba., 2018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