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Maržić (CROSBI Profil: 40907)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index.php/77855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