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Štrajtenberger (CROSBI Profil: 40463, OBAD: -393779)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žan, Marina; Nedeljković, Vanja; Perković, Marina; Dolenec, Vanja; Hađak, Ana; Štrajtenberger, Maja
]]>          <w:br/>
<![CDATA[Prikaz slučaja: Retroperitonealni apsces kao uzrok pleuralnog izljeva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na, Matea; Štrajtenberger, Maja; Čulina, Lucija; Ferara, Nikola; Pravica, Nika; Lugović Mihić, Liborija
]]>          <w:br/>
<![CDATA[Significant role of the coagulation system and fibrinolysis in the pathophysiology of chronic spontaneous urticaria.  // 7. kongres hrvatskih dermatovenerologa s međunarodnim sudjelovanjem
]]>          <w:br/>
<![CDATA[Vodice, Hrvatska, 2022. (poster, međunarodna recenzija, ostalo, stručni)
]]>          <w:br/>
        </w:t>
      </w:r>
    </w:p>
    <w:p>
      <w:pPr/>
      <w:r>
        <w:rPr/>
        <w:t xml:space="preserve">
<![CDATA[Štrajtenberger, Maja; Nedeljković, Vanja; Božan, Marina
]]>          <w:br/>
<![CDATA[Coronary artery disease due to familial hypercholesterolaemia – a case report.  // Hrvatski kardiološki kongres s međunarodnim sudjelovanjem
]]>          <w:br/>
<![CDATA[online ; Zagreb, Hrvatska: Hrvatsko kardiološko društvo, 2022. str. 171-17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