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Markusi (CROSBI Profil: 39864)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unja, Matea; Šalinović, Ivan; Peršić, Sanja
]]>          <w:br/>
<![CDATA[Temporomandibularni poremećaji; retrodiscitis.  // Sonda : list studenata Stomatološkog fakulteta Sveučilišta u Zagrebu, 19 (2018), 36;  14-1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index.php/1157442)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