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DERENČINOVIĆ RUK (CROSBI Profil: 39598, MBZ: 392680)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ović, Antonija; Derenčinović Ruk, Morana
]]>          <w:br/>
<![CDATA[Digitalna transformacija vrijednosnih papira i aktivnosti regulatora tržišta kapitala. // Nove tehnologije i pravo društava / Jakša, Barbić (ur.).
]]>          <w:br/>
<![CDATA[Zagreb: Hrvatska akademija znanosti i umjetnosti (HAZU), 2022. str. 95-137. (https://www.bib.irb.hr:8443/index.php/1220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Derenčinović Ruk, Morana
]]>          <w:br/>
<![CDATA[Private equity fondovi i hrvatsko iskustvo.  // Zbornik Pravnog fakulteta u Zagrebu, 70 (2020), 6;  783-824 doi:10.3935/zpfz.70.6.03 (recenziran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Derenčinović Ruk, Morana
]]>          <w:br/>
<![CDATA[Restrukturiranje društava u poteškoćama i tržište kapitala – vrste i upravljanje sukobom interesa.  // Zbornik Pravnog fakulteta Sveučilišta u Rijeci, 39 (2018), 4 Posebni broj;  1655-1680 (recenziran, članak, znanstveni)
]]>          <w:br/>
        </w:t>
      </w:r>
    </w:p>
    <w:p>
      <w:pPr/>
      <w:r>
        <w:rPr/>
        <w:t xml:space="preserve">
<![CDATA[Derenčinović Ruk, Morana
]]>          <w:br/>
<![CDATA[Usklađenost (compliance) i sukob interesa na tržištu kapitala, Teorijski i praktični pregled s osvrtom na propise "fondovske industrije".  // Pravo u gospodarstvu, 4 (2015), 2015;  709-741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enčinović Ruk, Morana
]]>          <w:br/>
<![CDATA[Uloga depozitara UCITS fondova s osvrtom na slučaj Madoff.  // Pravo u gospodarstvu, 1 (2014),  51-80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Fond za zaštitu ulagatelja u Republici Hrvatskoj.  // Pravo u gospodarstvu, 2 i 5 (2012),  514 ; 1251-538 ; 1277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Ovrha na nematerijaliziranim vrijednosnim papirima ubilježenima na računima kod Središnjeg klirinškog depozitarnog društva d.d..  // Pravo u gospodarstvu, 2 (2010),  501-53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index.php/84973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