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Zaninović (CROSBI Profil: 38009, MBZ: 386795)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rašić, Ivica; Zaninović, Andrea
]]>          <w:br/>
<![CDATA[Zavarivanje visokolegiranih čelika uz osvrt na preporuke norme HRN EN 1011-3.  // K O R M A T 2020 Stainless Steels
]]>          <w:br/>
<![CDATA[Zagreb, Hrvatska, 2020. str. 3-1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 Car
]]>          <w:br/>
<![CDATA[Optimizacija tehnologije robotiziranog MAG zavarivanja strukture kotla., 2021., diplomski rad, diplomski, Fakultet strojarstva i brodogradnje Zagreb, Zagreb
]]>          <w:br/>
        </w:t>
      </w:r>
    </w:p>
    <w:p>
      <w:pPr/>
      <w:r>
        <w:rPr/>
        <w:t xml:space="preserve">
<![CDATA[Zovko, Ivan
]]>          <w:br/>
<![CDATA[Primjena austenitnih elektroda u mokrom podvodnom REL zavarivanju., 2021., diplomski rad, preddiplomski, Fakultet strojarstva i brodogradnje, Zagreb
]]>          <w:br/>
        </w:t>
      </w:r>
    </w:p>
    <w:p>
      <w:pPr/>
      <w:r>
        <w:rPr/>
        <w:t xml:space="preserve">
<![CDATA[Nemec, Kristijan
]]>          <w:br/>
<![CDATA[Analiza metoda rendgenske i neutronske difrakcije za mjerenje zaostalih naprezan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