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Galić (CROSBI Profil: 37759)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Goran
]]>          <w:br/>
<![CDATA[Šenoine "Zagrebulje" i začeci hrvatskoga feljtona.  // KOLO-časopis Matice hrvatske za književnost, umjetnost i kulturu, 1/2020 (2020),  87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ha, Suzana; Galić, Goran
]]>          <w:br/>
<![CDATA[Riječ unaprijed: 150 godina od prvoga broja Vijenca.  // Kolo : časopis Matice hrvatske, XXX (2020), 1;  75-76 (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Goran
]]>          <w:br/>
<![CDATA[Šenoine "Zagrebulje" i začeci hrvatskoga feljtona.  // Znanstveno-stručni skup u povodu 150 godina od prvog broja "Vijenca" / Ernest Fišer (ur.).
]]>          <w:br/>
<![CDATA[Zagreb: Matica hrvatska, 2020. str. 87-9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Goran
]]>          <w:br/>
<![CDATA[150 godina V(i)jenca.  // Nije objavljen
]]>          <w:br/>
<![CDATA[Ozalj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