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Šimić Jovičić (CROSBI Profil: 37714)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Šimić, Marijana; Klobučar, Hrvoje; Hrastinski, Karmela
]]>          <w:br/>
<![CDATA[Experiences in usage of the Molndal technique for orthopaedic surgical incisions.  // 8th ZIMS Zagreb International Medical Summit / Anić, Branimir (ur.).
]]>          <w:br/>
<![CDATA[Zagreb, 2008. str. 61-62 (predavanje, sažetak, ostalo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