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Rezo (CROSBI Profil: 36695, MBZ: 404554, ORCID: 0000-0001-6684-6170)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Rezo, Zvonimir; Steiner, Sanja
]]>          <w:br/>
<![CDATA[South East Common Sky Initiative Free Route Airspace - implementation aftermath.  // Transportation Research Procedia, 45 (2020),  676-683 doi:10.1016/j.trpro.2020.02.111 (međunarodna recenzija, prethodno priopćenje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Rezo, Zvonimir
]]>          <w:br/>
<![CDATA[Development of the European airspace (de)fragmentation assessment model: A methodological review.  // German Aviation Research Society (GARS) 18th Aviation Student Research Workshop
]]>          <w:br/>
<![CDATA[Online event, 2021. str. 1-14 (predavanje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index.php/1080463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index.php/1080474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index.php/1084966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index.php/1084971)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index.php/1006240) (predavanje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ezo, Zvonimir
]]>          <w:br/>
<![CDATA[European airspace fragmentation assessment model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zo, Zvonimir
]]>          <w:br/>
<![CDATA[Istraživanje funkcionalnosti upravljanja europskim zračnim prostorom., 2018., diplomski rad, diplomski, Fakultet prometnih znanosti, Zagreb
]]>          <w:br/>
        </w:t>
      </w:r>
    </w:p>
    <w:p>
      <w:pPr/>
      <w:r>
        <w:rPr/>
        <w:t xml:space="preserve">
<![CDATA[Rezo, Zvonimir
]]>          <w:br/>
<![CDATA[Usporedna analiza implementacije SES-a u Hrvatskoj i Slovačkoj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