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Banović Đorđević (CROSBI Profil: 36409, OBAD: -375909)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 Đorđević, Ivana; Obad Šćitaroci, Bojana Bojanić
]]>          <w:br/>
<![CDATA[Contemporary Research on the Spatial Relations between the Public Library and the City.  // Prostor : znanstveni časopis za arhitekturu i urbanizam, 28 (2020), 2 (60);  402-411 doi:10.31522/p.28.2(60).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 Đorđević, Ivana; Bojanić Obad Šćitaroci, Bojana
]]>          <w:br/>
<![CDATA[PUBLIC LIBRARY AS AN APPEALING URBANSCAPE ELEMENT.  // ARCHITECTURAL HERITAGE AND URBAN PLANNING PROCEEDINGS: XI SCIENTIFIC AND PROFESSIONAL CONFERENCE / Vučković, Olivera ; Mrlješ, Rade (ur.).
]]>          <w:br/>
<![CDATA[Beograd: Cultural Heritage Preservation Institute of Belgrade 14 Kalemegdan Gornji Grad, Belgrade, Serbia, 2021. str. 300-311 (predavanje, međunarodn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ović Đorđević, Ivana
]]>          <w:br/>
<![CDATA[Architecture of the Library in the Future.  // Let's go Green, The First International Green Library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