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Bokulić (CROSBI Profil: 35977, ORCID: 0000-0002-0795-3547, OBAD: -356351)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Zec, Ivana; Bokulić, Adriana; Kruljac, Ivan
]]>          <w:br/>
<![CDATA[Urinary free cortisol – estimating the upper reference limit in Croatian population on the Abbott Architect i2000.  // Reference intervals and decision limits
]]>          <w:br/>
<![CDATA[München, Njemačka: Clinical Chemistry and Laboratory Medicine (CCLM), 2021. str. s751-s751 doi:10.1515/cclm-2021-5034 (poster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Bokulić, A; Zec, I; Krtanjek, S; Bukovec-Megla, Ž
]]>          <w:br/>
<![CDATA[The role of albumin in calculation of free testosterone.  // 15th EFLM Continuous Postgraduate Course in Clinical Chemistry and Laboratory Medicine
]]>          <w:br/>
<![CDATA[Zagreb, Hrvatska: Clinical Chemistry and Laboratory Medicine, 2015. str. eA236-eA236 doi:10.1515/cclm-2015-08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