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Milevoj Kopčinović (CROSBI Profil: 35202, MBZ: 371651)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Khan, Adil I.; Pratumvinit, Busadee; Jacobs, Ellis; Kost, Gerald J.; Kary, Heba; Balla, Jan; Shaw, Julie; Milevoj Kopcinovic, Lara; Vaubourdolle, Michel; Oliver, Paloma et al.
]]>          <w:br/>
<![CDATA[Point-of-care testing performed by healthcare professionals outside the hospital setting: consensus based recommendations from the IFCC Committee on Point-of-Care Testing (IFCC C-POCT).  // Clinical Chemistry and Laboratory Medicine (CCLM), (2023), cclm-2023-0502, 8 doi:10.1515/cclm-2023-0502 (međunarodna recenzija, pregledni rad, struč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Pavić, Marina; Milevoj, Lara
]]>          <w:br/>
<![CDATA[Platelet count monitoring in burn patients.  // Biochemia medica, 17 (2007), 2;  212-219 doi:10.11613/BM.2007.02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Vrtarić, Alen; Božović, Marija; Nikolac Gabaj, Nora; Culej, Jelena; Milevoj Kopčinović, Lara; Herceg, Ivona
]]>          <w:br/>
<![CDATA[Stability of faecal calprotectin extracts.  // Clinical Chemistry and Laboratory Medicine / Plebani, Mario (ur.).
]]>          <w:br/>
<![CDATA[Berlin: Walter de Gruyter, 2019. str. eA42-eA42 doi:10.1515/cclm-2019-0104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