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Knežević (CROSBI Profil: 33899, MBZ: 359275)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Merlin, G.; van der Leede, Bas-Jan Martin; McKune, Keith; Knezevic, Nikola; Bannwarth, Wilhelm; Romquin, Nicole; Viegas-Pequignot, Evani; Kiefer, Hansruedi; Aguet, M.; Dembic, Zlatko
]]>          <w:br/>
<![CDATA[The gene for the ligand binding chain of the human interferon gamma receptor.  // Immunogenetics, 45 (1997), 6;  413-421 doi:10.1007/s002510050223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RUŠIĆ‐GALEŠIĆ, S.; SPARBIER, K.; KNEZEVIC, N.; WALDEN, P.
]]>          <w:br/>
<![CDATA[Altered Allogeneic Response in Neonatally Anti‐MHC Class I‐Treated Mice.  // Scandinavian Journal of Immunology, 43 (1996), 3;  321-328 doi:10.1046/j.1365-3083.1996.d01-46.x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index.php/13573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Ježek, Davor; Hittmair, Anton; Rogatsch, Hermann; Knežević, Nikola; Bulić-Jakuš, Floriana; Jurić-Lekić, Gordana; Goluža, Trpimir
]]>          <w:br/>
<![CDATA[Testicular Macrophages in Patients with Non-Obstructive Azoospermia.  // The 16th International Microscopy Congress
]]>          <w:br/>
<![CDATA[Sapporo, Japan, 200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