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Perman (CROSBI Profil: 33164, MBZ: 352306)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k, Toni; Perman, Luka; Lozić, Ines
]]>          <w:br/>
<![CDATA[The impact of inflation on restaurant prices in Croatia in the tourist season 2022.  // Economic and social development, 81 (2022),  61-68 (međunarodna recenzija, članak, znanstveni)
]]>          <w:br/>
        </w:t>
      </w:r>
    </w:p>
    <w:p>
      <w:pPr/>
      <w:r>
        <w:rPr/>
        <w:t xml:space="preserve">
<![CDATA[Ivanović, Slobodan; Perman, Luka; Grlj, Ivana
]]>          <w:br/>
<![CDATA[Impact of technological development on business efficiency in the food and beverage department.  // UTMS Journal of Economics (Skopje), 6 (2015), 2;  321-330 (recenziran, pregledni rad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Slobodan; Perman, Luka; Komšić, Jelena
]]>          <w:br/>
<![CDATA[Evaluating successful strategies in creation of innovative services in hospitality.  // 23th International Congress Tourism and Hospitality Industry - Trends and Challenges / Maškarin Ribarić, Helga ; Smolčić Jurdana, Dora (ur.).
]]>          <w:br/>
<![CDATA[Opatija: Fakultet za menadžment u turizmu i ugostiteljstvu Sveučilišta u Rijeci, 2016. str. 109-121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index.php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