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Crnković (CROSBI Profil: 31841, MBZ: 339782)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>
      <w:pPr/>
      <w:r>
        <w:rPr/>
        <w:t xml:space="preserve">
<![CDATA[Crnković, Tomislav; Bitunjac, Dragutin; Pitlović, Hrvoje; Marić, Dalibor
]]>          <w:br/>
<![CDATA[Retrospective study of total hip arthroplasty in Brod-Posavina and Požega- Slavonia counties in 2010.  // Medicinski glasnik Ljekarske komore Zeničko- dobojskog kantona, 9 (2012), 1;  166-168 (domaća recenzija, članak, znanstve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slavonskoj županiji za 2010. godinu.  // Medicinski glasnik Ljekarske komore Zeničko- dobojskog kantona, 9 (2012), 1;  166-16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adin, Tihana; Mihalić, Andreja; Crnković, Tomislav
]]>          <w:br/>
<![CDATA[Possibility of quality control of non-standard polymer products with compression testing.  // CIM 2013 : Computer integrated manufacturing and high speed machining / Eberhard, Abele ; Toma, Udiljak ; Damir, Ciglar (ur.).
]]>          <w:br/>
<![CDATA[Zagreb: Croation Association of Production Engineering, 2013. str. 155-160. (https://www.bib.irb.hr:8443/index.php/686642)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 slavonskoj županiji za 2010. godinu.  // 9th Central European Orthopaedic Congress together with ARTOF: Final programme and Book of Abstracts
]]>          <w:br/>
<![CDATA[Portorož, 2012. str. - (predavanje, recenziran, sažetak, struč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