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Wolfling (CROSBI Profil: 31806, MBZ: 337563)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renčić, Martina; Wolfling, Ana
]]>          <w:br/>
<![CDATA[Impact of Negative Quality Inconsistency on Brand Loyalty – Case of Croatian Food Market.  // Economic and business review, 17 (2015), 1;  5-2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erenčić, Martina; Wolfling, Ana
]]>          <w:br/>
<![CDATA[Impact of quality inconsistency on brand loyalty.  // 23rd Cromar congress: Marketing in a Dynamic Environment - Academic and Practical Insights, Congress proceedings / Grbac, Bruno ; Lončarić, Dina ; Dlačić, Jasmina (ur.).
]]>          <w:br/>
<![CDATA[Rijeka: Faculty of Tourism and Hospitality Management in Opatija ; University of Rijeka ; CROMAR, 2013. str. 491-506. (https://www.bib.irb.hr:8443/index.php/68853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