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Stupnišek (CROSBI Profil: 31755, MBZ: 336891)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tupnišek, Mirjana; Franjić, Sandra; Drmić, Domagoj; Hrelec, Maša; Kolenc, Danijela; Radić, Božo; Bojić, Davor; Včev, Aleksandar; Seiwerth, Sven; Sikirić, Predrag
]]>          <w:br/>
<![CDATA[Pentadecapeptide BPC 157 reduces bleeding time and thrombocytopenia after 3 amputation in rats treated with heparin, warfarin or aspirin.  // Thrombosis research, 129 (2012), 5;  652-659 doi:10.1016/j.thromres.2011.07.03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  // Gastroenterology (New York, N.Y. 1943), 140 (2011), Suppl. 1;  S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Stupnišek, Mirjana; Franjić, Sandra; Drmić, Domagoj; Hrelec Partlj, Maša; Sever, Zdenko; Radić, Božo; Bojić, Davor; Včev, Aleksandar; Seiwerth, Sven
]]>          <w:br/>
<![CDATA[Pentadecapeptide bpc 157 reduces bleeding time and thrombocytopenia after amputation in rats treated with heparin, warfarin or aspirin.  // Cardiologia croatica, 7 (2012), Suppl. 1;  257-257 (podatak o recenziji nije dostupan, članak, ostalo)
]]>          <w:br/>
        </w:t>
      </w:r>
    </w:p>
    <w:p>
      <w:pPr/>
      <w:r>
        <w:rPr/>
        <w:t xml:space="preserve">
<![CDATA[Stupnišek, Mirjana
]]>          <w:br/>
<![CDATA[Diagnostical procedure on patients with infective mononucleosis.  // HealthMed, 1 (2007), 3;  114-1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s of pentadecapeptide BPC157 with vancomycin against Enterococcus faecalis strains.  // Final programme and abstract Book
]]>          <w:br/>
<![CDATA[Split, 2016. str. 100-10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