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Boričević Maršanić (CROSBI Profil: 31554, MBZ: 336121)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Velimirović, Irena; Paradžik, Ljubica; Boričević Maršanić, Vlatka
]]>          <w:br/>
<![CDATA[Mogućnosti i izazovi kvalitativnih istraživanja u području mentalnog zdravlja.  // Socijalna psihijatrija, 46 (2018), 4;  426-441. (https://www.bib.irb.hr:8443/index.php/1194438) (domaća recenzija, pregledni rad, stručni)
]]>          <w:br/>
        </w:t>
      </w:r>
    </w:p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index.php/1036889) (domaća recenzija, pregledni rad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Boričević Maršanić, Vlatka; Kordić, Ana; Flander, Mia
]]>          <w:br/>
<![CDATA[Mindfulness – focused awareness: application in children at a psychiatric ward.  // Interdisciplinary Journal of Psychotherapy, 1 (2018),  5-15 (međunarodna recenzija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čević Maršanić, Vlatka; Jukić, Josipa; Flander, Mia
]]>          <w:br/>
<![CDATA[Challenges of assessment and treatment of ultra high risk for psychosis in an adolescent.  // Psychiatria Danubina, 30 (2018), Suppl. 4;  166-168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index.php/1165401) (poster, podatak o recenziji nije dostupan, neobjavljeni rad, struč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index.php/1092064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