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Gerić (CROSBI Profil: 30458, MBZ: 327402)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Madunić, Josip; Hercog, Klara; Gerić, Marko; Domijan, Ana-Marija; Žegura, Bojana; Gajski, Goran
]]>          <w:br/>
<![CDATA[Marine toxin domoic acid induces moderate toxicological response in non-target HepG2 cells.  // Toxicology, 470 (2022), 153157, 8 doi:10.1016/j.tox.2022.153157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Gajski, Goran; Gerić, Marko; Živković Semren, Tanja; Tariba Lovaković, Blanka; Oreščanin, Višnja; Pizent, Alica
]]>          <w:br/>
<![CDATA[Application of the comet assay for the evaluation of DNA damage from frozen human whole blood samples: Implications for human biomonitoring.  // Toxicology letters, 319 (2020),  58-65 doi:10.1016/j.toxlet.2019.11.010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Gajski, Goran; Gerić, Marko; Domijan, Ana-Marija; Golubović, Ivana; Žegura, Bojana
]]>          <w:br/>
<![CDATA[Marine toxin domoic acid induces in vitro genomic alterations in human peripheral blood cells.  // Toxicon, 187 (2020),  93-100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Domijan, Ana-Marija; Gerić, Marko; Žegura, Bojana; Gajski, Goran
]]>          <w:br/>
<![CDATA[Cyto/genotoxic and oxidative stress response in bisphenol A treated onion (Allium cepa L.) root meristem cells.  // Book of Abstracts of the Congress of Croatian Society of Biochemistry and Molecular Biology, HDBMB22 / Dulić, Morana ; Sinčić, Nino ; Vrhovac Madunić, Ivana (ur.).
]]>          <w:br/>
<![CDATA[Zagreb: Hrvatsko Društvo za Biotehnologiju, 2022. str. 78-78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Milić, Mirta; Collins, Andrew; Koppen, Gudrun; Azqueta Oscoz, Amaya; Langie, S; Basaran, Nursen; Giovanelli, Lisa; Ladeira, Carina; Gajski, Goran; Gerić, Marko, Moller, Peter et al.
]]>          <w:br/>
<![CDATA[ALKALINE COMET ASSAY IN DNA DAMAGE ASSESSMENT IN FROZEN WHOLE BLOOD SAMPLES FROZEN WITHOUT CRYOPRESERVATION-RESULTS OF THE HCOMET GROUP..  // ALAG 2021 / 2021, ALAG (ur.).
]]>          <w:br/>
<![CDATA[Lahti: ALAG 2021, 2021. str. 1-1 (pozvano 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anec, Anja
]]>          <w:br/>
<![CDATA[Optimiziranje spektrofotometrijske metode za određivanje glutationa u punoj krvi., 2019., diplomski rad, diplomski, Farmaceutsko-biokemijski fakultet, Zagreb
]]>          <w:br/>
        </w:t>
      </w:r>
    </w:p>
    <w:p>
      <w:pPr/>
      <w:r>
        <w:rPr/>
        <w:t xml:space="preserve">
<![CDATA[Vujeva, Vesna
]]>          <w:br/>
<![CDATA[Ispitivanje stabilnosti glutationa u uzorcima plazme i krvi., 2019., diplomski rad, diplomski, Farmaceutsko-biokemijs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