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Filić (CROSBI Profil: 30443, MBZ: 326796)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Filić, Želimira; Paradžik, Tina; Jakimowicz, Dagmara; Vujaklija, Dušica
]]>          <w:br/>
<![CDATA[Complex regulatory network controls chromosome segregation in streptomycetes.  // FEMS 2017, 7th Congress of European microbiologist : abstract book
]]>          <w:br/>
<![CDATA[Valencia, Španjolska, 2017. str. 1956-1956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ilić, Želimira
]]>          <w:br/>
<![CDATA[Istraživanje biološke uloge proteina SsbB u segregaciji kromosoma tijekom reproduktivne faze bakterije Streptomyces coelicolor., 2019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