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Eržebet Tomljenović (CROSBI Profil: 28567, MBZ: 167856)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>
      <w:pPr/>
      <w:r>
        <w:rPr/>
        <w:t xml:space="preserve">
<![CDATA[Tomljenović, Eržebet; Bakašun, Vjekoslav
]]>          <w:br/>
<![CDATA[Klinička slika komplikacija influence u otorinolaringološkom području.  // Symposia otorhinolaryngologica, 28 (1993), 1-3;  81-8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Eržebet; Jurdana, Stanko
]]>          <w:br/>
<![CDATA[Govorna i psihička rehabilitacija laringektomiranih bolesnika.  // Medicina : glasilo Hrvatskoga liječničkoga zbora, Podružnica Rijeka, 31-32 (1995), 1-4;  73-7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ljenović, Eržebet; 
]]>          <w:br/>
<![CDATA[Rehabilitacija govornih poremećaja u Thalasotherapiji Crikvenica.  // Zbornik radova I. međunarodnog simpozija "Opatija - promotor zdravstvenog turizma" / Rožanić, Igor (ur.).
]]>          <w:br/>
<![CDATA[Opatija: Thalasoterapija Opatija, 1996. str. 189 - 19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