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Šustar (CROSBI Profil: 28159, MBZ: 247223)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Šustar, Predrag
]]>          <w:br/>
<![CDATA[Normativity and Biological Lawlikeness – Three Variants. // Kant und die Philosophie in weltbürgerlicher Absicht / Bacin, Stefano / Ferrarin, Alfredo / La Rocca, Claudio / Ruffing, Margit (ur.).
]]>          <w:br/>
<![CDATA[Berlin : New York: Walter de Gruyter, 2013. str. 249-261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Portera, Mariagrazia; Šustar, Predrag
]]>          <w:br/>
<![CDATA[Molecular biology in a distributed world. A Kantian perspective on scientific practices and the human mind.  // Lebenswelt (Milano), 7 (2015),  83-93 doi:10.13130/2240-9599/6684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Šustar, Predrag
]]>          <w:br/>
<![CDATA[Nomological and Transcendental Criteria for Scientific Laws.  // Croatian Journal of Philosophy, 5 (2005), 3;  533-544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