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Šmit (CROSBI Profil: 27907, MBZ: 47636)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index.php/203632) (poster, međunarodn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index.php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