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Petek Tarnik (CROSBI Profil: 26680, MBZ: 248202)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