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Ćuk (CROSBI Profil: 26014, MBZ: 272186)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Ćuk, Mario
]]>          <w:br/>
<![CDATA[Metabolička alkaloza - alkalemija, U: Barić I.Nasljedne metaboličke bolesti 2012. / Barić Ivo i suradnici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