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Sekovanić (CROSBI Profil: 25427, MBZ: 135952)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index.php/371075)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Filipović-Vinceković, Nada; Sekovanić, Lavoslav; Žitnik, Dorica
]]>          <w:br/>
<![CDATA[The stability of zeolite-surfactant systems.  // Powder Technology, 27 (1980), 2;  251-259 doi:10.1016/0032-5910(80)8503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Filipović-Vinceković, Nada; Žitnik, Dorica; Sekovanić, Lavoslav
]]>          <w:br/>
<![CDATA[O stabilnosti sistema zeolit/tenzid.  // Zbornik radova
]]>          <w:br/>
<![CDATA[Ohrid, Sjeverna Makedonija, 1981. str. 889-886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