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Jednačak (CROSBI Profil: 25078, MBZ: 315454)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Novak, Predrag; Jednačak, Tomislav
]]>          <w:br/>
<![CDATA[Spektroskopska strukturna analiza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index.php/695783)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index.php/631820) (domaća recenzija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index.php/1265638)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Jednačak, Tomislav; Bourgeois, Benjamin; Madl, Tobias
]]>          <w:br/>
<![CDATA[Structural basis for lipid interactions with glutathione peroxidase 4.  // Adriatic NMR Conference 2019 : Book of abstracts / Namjesnik, Danijel ; Novak, Predrag ; Parlov Vuković, Jelena (ur.).
]]>          <w:br/>
<![CDATA[Zagreb, 2019. str. 35-35 (pozvano predavanje, sažetak, ostalo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index.php/122863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index.php/66533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Brkljača, Martina
]]>          <w:br/>
<![CDATA[Kristalizacija 2-cijano-3-(3, 4- dihidroksi -5 nitrofenil)-N, N-dietilprop-2-enamida i karakterizacija polimorfa Ramanovom spektroskopijom "in - line"., 2010., diplomski rad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