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KRALIK OGUIĆ (CROSBI Profil: 22841, MBZ: 278986)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Kralik Oguić, Saša
]]>          <w:br/>
<![CDATA[Hormoni i mehanizam njihova djelovanja. // Reprodukcijska endokrinologija i neplodnost : medicinski pomognuta oplodnja, IVF / Šimunić, Velimir (ur.).
]]>          <w:br/>
<![CDATA[Zagreb: Školska knjiga, 2012. str. 25-43
]]>          <w:br/>
        </w:t>
      </w:r>
    </w:p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index.php/644550) (međunarodna recenzija, članak, znanstveni)
]]>          <w:br/>
        </w:t>
      </w:r>
    </w:p>
    <w:p>
      <w:pPr/>
      <w:r>
        <w:rPr/>
        <w:t xml:space="preserve">
<![CDATA[Kralik Oguić, Saša
]]>          <w:br/>
<![CDATA[Laboratory parameters in diagnosis of preeclampsia and HELLP syndrome.  // Neurologia Croatica, 62 (2013), 2;  127-131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