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Kaleb (CROSBI Profil: 22835, MBZ: 285611)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b, Zorislav
]]>          <w:br/>
<![CDATA[Novi Zakon o kaznenom postupku, autorski pročišćeni tekst s prilozima.. Zagreb: Organizator, 2010 (monografija)
]]>          <w:br/>
        </w:t>
      </w:r>
    </w:p>
    <w:p>
      <w:pPr/>
      <w:r>
        <w:rPr/>
        <w:t xml:space="preserve">
<![CDATA[Kaleb, Zorislav
]]>          <w:br/>
<![CDATA[Djelovanje kaznene presude na parnični postupak.. Zagreb: Vizura, 2008 (monografija)
]]>          <w:br/>
        </w:t>
      </w:r>
    </w:p>
    <w:p>
      <w:pPr/>
      <w:r>
        <w:rPr/>
        <w:t xml:space="preserve">
<![CDATA[Kaleb, Zorislav
]]>          <w:br/>
<![CDATA[Zakon o kaznenom postupku s prilozima: Ogledi o primjeni Zakona o kaznenom postupku u sudskoj praksi.. Zagreb: Inmag, 2008 (monografija)
]]>          <w:br/>
        </w:t>
      </w:r>
    </w:p>
    <w:p>
      <w:pPr/>
      <w:r>
        <w:rPr/>
        <w:t xml:space="preserve">
<![CDATA[Kaleb, Zorislav
]]>          <w:br/>
<![CDATA[Gospodarska kaznena djela iz područja trgovačkih društava i vrijednosnih papira: gospodarski kriminal u vezi trgovačkih društava i vrijednosnih papira, njegovo otkrivanje i suzbijanje.. Zagreb: Zgombić & Partner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, Zorislav
]]>          <w:br/>
<![CDATA[Novo uređenje instituta oduzimanja imovinske koristi prema noveli Kaznenog zakona s osvrtom na dosadašnju sudsku praksu: usporedba s odlukom o imovinskopravnom zahtjevu.  // Hrvatski ljetopis za kazneno pravo i praksu, 10 (2003), 2;  449-4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, Zorislav
]]>          <w:br/>
<![CDATA[O kaznenom djelu nedopuštene trgovine vrijednosnim papirima.  // Suvremeno poduzetništvo, 11 (2004), 4;  135-138 (domaća recenzija, članak, stručni)
]]>          <w:br/>
        </w:t>
      </w:r>
    </w:p>
    <w:p>
      <w:pPr/>
      <w:r>
        <w:rPr/>
        <w:t xml:space="preserve">
<![CDATA[Kaleb, Zorislav
]]>          <w:br/>
<![CDATA[Razmišljanja uz odluku Ustavnog suda o ukidanju izmjena i dopuna kaznenog zakona iz 2003..  // Hrvatski ljetopis za kazneno pravo i praksu, 11 (2004), 1;  293-298 (domaća recenzija, članak, stručni)
]]>          <w:br/>
        </w:t>
      </w:r>
    </w:p>
    <w:p>
      <w:pPr/>
      <w:r>
        <w:rPr/>
        <w:t xml:space="preserve">
<![CDATA[Kaleb, Zorislav
]]>          <w:br/>
<![CDATA[O rokovima za objavu, izradu i otpravak presude iz noveliranog Zakona o kaznenom postupku.  // Hrvatska pravna revija, II (2002), 7;  118-123 (podatak o recenziji nije dostupan, članak, stručni)
]]>          <w:br/>
        </w:t>
      </w:r>
    </w:p>
    <w:p>
      <w:pPr/>
      <w:r>
        <w:rPr/>
        <w:t xml:space="preserve">
<![CDATA[Kaleb, Zorislav
]]>          <w:br/>
<![CDATA[O kaznenim djelima iz Zakona o izdavanju i prometu vrijednosnim papirima.  // Hrvatska pravna revija, II (2002), 3;  129-136 (podatak o recenziji nije dostupan, članak, stručni)
]]>          <w:br/>
        </w:t>
      </w:r>
    </w:p>
    <w:p>
      <w:pPr/>
      <w:r>
        <w:rPr/>
        <w:t xml:space="preserve">
<![CDATA[Kaleb, Zorislav
]]>          <w:br/>
<![CDATA[O kaznenim djelima revizora iz Zakona o trgovačkim društvima (čl. 628. i 629.).  // Hrvatska pravna revija, II (2002), 5;  86-93 (podatak o recenziji nije dostupan, članak, stručni)
]]>          <w:br/>
        </w:t>
      </w:r>
    </w:p>
    <w:p>
      <w:pPr/>
      <w:r>
        <w:rPr/>
        <w:t xml:space="preserve">
<![CDATA[Kaleb, Zorislav
]]>          <w:br/>
<![CDATA[Počinjenje kaznenenog djela iz područja gospodarstva kao smetnja za imenovanje člana uprave ili nadzornog odbora društva.  // Pravo u gospodarstvu, 41 (2002), 3;  121-132 (podatak o recenziji nije dostupan, članak, stručni)
]]>          <w:br/>
        </w:t>
      </w:r>
    </w:p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leb, Zorislav
]]>          <w:br/>
<![CDATA[Vezanost parničnog suda za pravomoćnu presudu kaznenog suda., 2006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