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Hajdaš Dončić (CROSBI Profil: 22585, MBZ: 288254)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 (2007), 1;  99-1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>
      <w:pPr/>
      <w:r>
        <w:rPr/>
        <w:t xml:space="preserve">
<![CDATA[Hajdaš Dončić, Siniša; Đurek, Nikola
]]>          <w:br/>
<![CDATA[Polazišne osnove u kreiranju branda kroz model.  // Acta economica et turistica, 3 (2017), 2;  137-146 (domaća recenzija, članak, ostalo)
]]>          <w:br/>
        </w:t>
      </w:r>
    </w:p>
    <w:p>
      <w:pPr/>
      <w:r>
        <w:rPr/>
        <w:t xml:space="preserve">
<![CDATA[Hajdaš Dončić, Siniša; Đurek, Nikola
]]>          <w:br/>
<![CDATA[SOCIAL – CULTURAL SUSTAINABILITY OF A LOCAL COMMUNITY THROUGH VISUAL IDENTIFICATION ON THE EXAMPLE OF THE TOWN OF ZABOK.  // Acta economica et turistica, 2 (2016), 2;  127-138 (domaća recenzija, članak, ostalo)
]]>          <w:br/>
        </w:t>
      </w:r>
    </w:p>
    <w:p>
      <w:pPr/>
      <w:r>
        <w:rPr/>
        <w:t xml:space="preserve">
<![CDATA[Hajdaš Dončić, Siniša; Šmid, Ivan; Gašparlin, Ines
]]>          <w:br/>
<![CDATA[INOVATIVNI TURISTIČKI PROIZVODI KAO MODEL RAZVOJA RURALNOGA TURIZMA U KONTINENTALNOJ HRVATSKOJ.  // Acta turistica nova, 1. (2007), 2.;  195-210 (domaća recenzija, članak, ostalo)
]]>          <w:br/>
        </w:t>
      </w:r>
    </w:p>
    <w:p>
      <w:pPr/>
      <w:r>
        <w:rPr/>
        <w:t xml:space="preserve">
<![CDATA[Hajdaš Dončić, Siniša; Horvat, Đuro; Šmid, Ivan
]]>          <w:br/>
<![CDATA[Klaster - model za interregionalno povezivanje kontinentalnih agroturističkih odredišta.  // Acta turistica nova, 1. (2007), 1.;  99-116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index.php/101481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