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Filić Mileta (CROSBI Profil: 21762, MBZ: 235736)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dinier, Romain; Sabra, Ayman; Leiba, Jade; Marchetti, Anna; Lamrabet, Otmane; Ayadi, Imen; Filić, Vedrana; Kawata, Takefumi; Weber, Igor; Cosson, Pierre
]]>          <w:br/>
<![CDATA[Role of LrrkA in the Control of Phagocytosis and Cell Motility in Dictyostelium discoideum.  // Frontiers in cell and developmental biology, 9 (2021), 629200, 11 doi:10.3389/fcell.2021.62920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Junemann, A.; Filić, Vedrana; Winterhoff, M.; Nordholz, B.; Litschko, C.; Schwellenbach, H.; Stephan, T.; Weber, Igor; Faix, J.
]]>          <w:br/>
<![CDATA[A Diaphanous-related formin links Ras signaling directly to actin assembly in macropinocytosis and phagocytosis.  // Proceedings of the National Academy of Sciences of the United States of America, 113 (2016), 47;  E7464-E7473 doi:10.1073/pnas.1611024113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Filić, Vedrana
]]>          <w:br/>
<![CDATA[Functions of Dictyostelium protein IqgC in macropinocytosis.  // 4th Croatian Microscopy Congress with international participation: Book of Abstracts / Macan, Jelena ; Kovačević, Goran (ur.).
]]>          <w:br/>
<![CDATA[Poreč, Hrvatska: Croatian Microscopy Society and Ruđer Bošković Institute, 2022. str. 7-7 (pozvano predavanje, domaća recenzija, sažetak, ostalo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Junemann, Alexander; Filić, Vedrana; Winterhoff, Moritz; Nordholz, Benjamin; Litschko, Christof; Schwellenbach, Helena; Stephan, Till; Weber, Igor; Faix, Jan
]]>          <w:br/>
<![CDATA[Ras proteins regulate actin assembly at endocytic structures via Diaphanous-related formin G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175-177 (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
]]>          <w:br/>
<![CDATA[Formins orchestrate the cortical actin cytoskeleton in amoeboid cell migration and large-scale endocytosis.  // 12th Meeting of the Slovenian Biochemical Society with International Participation : Book of Abstracts / Goričar, Katja ; Hudler, Petra (ur.).
]]>          <w:br/>
<![CDATA[Ljubljana: Slovenian Biochemical Society, 2017. str. 25-25 (pozvano predavanje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Filić, Vedrana; Jernej, Branimir
]]>          <w:br/>
<![CDATA[Allele-specific oligonucleotide PCR: detection of A/G dimorphism in intron 13 of human monoamine oxidase B (MAO-B) gene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ilić, Vedrana
]]>          <w:br/>
<![CDATA[Molekularno-genetička i biokemijska istraživanja monoamin-oksidaze A i B u zdravih ispitanika i osoba koje boluju od migren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