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Matanović (CROSBI Profil: 21532, MBZ: 260124)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index.php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index.php/8571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index.php/31534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Matanović, Ivana
]]>          <w:br/>
<![CDATA[Grafički dizajn u Hrvatskoj - stanje i perspektive., 2009., diplomski rad, preddiplomski, Tekstilno-tehnološki fakultet, Zagreb, Hrvatska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