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Dusparić (CROSBI Profil: 19620, MBZ: 59972)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mbruš, Denis; Dusparić, Vlatko
]]>          <w:br/>
<![CDATA[, , Rijeka u gradu" ili "Grad na rijeci"-osječka situacija.  // Kontinuitet-diskontinuitet u planiranju gradova / Nenković-Riznić, M. (ur.).
]]>          <w:br/>
<![CDATA[Beograd: Copy-Key centar INDEX, 2009. str. 2-7. (https://www.bib.irb.hr:8443/index.php/477635) (plenarno, međunarodna recenzija, cjeloviti rad (in extenso), znanstveni)
]]>          <w:br/>
        </w:t>
      </w:r>
    </w:p>
    <w:p>
      <w:pPr/>
      <w:r>
        <w:rPr/>
        <w:t xml:space="preserve">
<![CDATA[Ambruš, Denis; Dusparić, Vlatko
]]>          <w:br/>
<![CDATA[Integracija/dezintegracija grada ; Osječka situacija.  // Nova urbanost integracija-dezintegracija grada / Bogdanović, Ružica (ur.).
]]>          <w:br/>
<![CDATA[Beograd: Društvo urbanista Beograda, Želnid, Beograd, 2008. str. 135-140. (https://www.bib.irb.hr:8443/index.php/48166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